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C02AC" w14:textId="77777777" w:rsidR="00A21D86" w:rsidRDefault="00000000">
      <w:r>
        <w:rPr>
          <w:b/>
          <w:sz w:val="32"/>
        </w:rPr>
        <w:t>The Rosenshine Ten</w:t>
      </w:r>
    </w:p>
    <w:p w14:paraId="084F3D1B" w14:textId="77777777" w:rsidR="00A21D86" w:rsidRDefault="00000000">
      <w:r>
        <w:rPr>
          <w:i/>
          <w:sz w:val="20"/>
        </w:rPr>
        <w:t>A ten-element pedagogy following Rosenshine's Principles of Instruction</w:t>
      </w:r>
    </w:p>
    <w:p w14:paraId="62E7E642" w14:textId="77777777" w:rsidR="00A21D86" w:rsidRDefault="00000000">
      <w:r>
        <w:rPr>
          <w:sz w:val="18"/>
        </w:rPr>
        <w:t>Best for: full lesson sequencing, NQT support, schemes of work. Encodes recall, introduction, modelling, scaffolded practice, diagnosis, feedback, and spaced retrieval as ten labelled elements.</w:t>
      </w:r>
    </w:p>
    <w:p w14:paraId="75796DAE" w14:textId="77777777" w:rsidR="00A21D86" w:rsidRDefault="00000000">
      <w:r>
        <w:rPr>
          <w:b/>
        </w:rPr>
        <w:t>Schema</w:t>
      </w:r>
    </w:p>
    <w:tbl>
      <w:tblPr>
        <w:tblStyle w:val="LightGrid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6520"/>
        <w:gridCol w:w="1020"/>
      </w:tblGrid>
      <w:tr w:rsidR="00A21D86" w14:paraId="6105620B" w14:textId="77777777" w:rsidTr="00A21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shd w:val="clear" w:color="auto" w:fill="EFEFEF"/>
          </w:tcPr>
          <w:p w14:paraId="4E71A824" w14:textId="77777777" w:rsidR="00A21D86" w:rsidRDefault="00000000">
            <w:r>
              <w:rPr>
                <w:sz w:val="18"/>
              </w:rPr>
              <w:t>Element</w:t>
            </w:r>
          </w:p>
        </w:tc>
        <w:tc>
          <w:tcPr>
            <w:tcW w:w="6520" w:type="dxa"/>
            <w:shd w:val="clear" w:color="auto" w:fill="EFEFEF"/>
          </w:tcPr>
          <w:p w14:paraId="794C57B3" w14:textId="77777777" w:rsidR="00A21D8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Rule</w:t>
            </w:r>
          </w:p>
        </w:tc>
        <w:tc>
          <w:tcPr>
            <w:tcW w:w="1020" w:type="dxa"/>
            <w:shd w:val="clear" w:color="auto" w:fill="EFEFEF"/>
          </w:tcPr>
          <w:p w14:paraId="00CD5A14" w14:textId="77777777" w:rsidR="00A21D8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Max</w:t>
            </w:r>
          </w:p>
        </w:tc>
      </w:tr>
      <w:tr w:rsidR="00A21D86" w14:paraId="417AFFCE" w14:textId="77777777" w:rsidTr="00A2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268F235B" w14:textId="77777777" w:rsidR="00A21D86" w:rsidRDefault="00000000">
            <w:r>
              <w:rPr>
                <w:sz w:val="18"/>
              </w:rPr>
              <w:t>[Daily Review]</w:t>
            </w:r>
          </w:p>
        </w:tc>
        <w:tc>
          <w:tcPr>
            <w:tcW w:w="6520" w:type="dxa"/>
          </w:tcPr>
          <w:p w14:paraId="5C4C1374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A single retrieval question testing prior knowledge that [Small Step] will build on. Closed-ended.</w:t>
            </w:r>
          </w:p>
        </w:tc>
        <w:tc>
          <w:tcPr>
            <w:tcW w:w="1020" w:type="dxa"/>
          </w:tcPr>
          <w:p w14:paraId="6D932839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20</w:t>
            </w:r>
          </w:p>
        </w:tc>
      </w:tr>
      <w:tr w:rsidR="00A21D86" w14:paraId="29D3F6E7" w14:textId="77777777" w:rsidTr="00A21D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26B4474C" w14:textId="77777777" w:rsidR="00A21D86" w:rsidRDefault="00000000">
            <w:r>
              <w:rPr>
                <w:sz w:val="18"/>
              </w:rPr>
              <w:t>[Small Step]</w:t>
            </w:r>
          </w:p>
        </w:tc>
        <w:tc>
          <w:tcPr>
            <w:tcW w:w="6520" w:type="dxa"/>
          </w:tcPr>
          <w:p w14:paraId="6D1FF0B2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One short sentence introducing the new concept. Strictly one idea. No compound sentences.</w:t>
            </w:r>
          </w:p>
        </w:tc>
        <w:tc>
          <w:tcPr>
            <w:tcW w:w="1020" w:type="dxa"/>
          </w:tcPr>
          <w:p w14:paraId="7D61BE71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25</w:t>
            </w:r>
          </w:p>
        </w:tc>
      </w:tr>
      <w:tr w:rsidR="00A21D86" w14:paraId="03CB8217" w14:textId="77777777" w:rsidTr="00A2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43B3CD84" w14:textId="77777777" w:rsidR="00A21D86" w:rsidRDefault="00000000">
            <w:r>
              <w:rPr>
                <w:sz w:val="18"/>
              </w:rPr>
              <w:t>[Question]</w:t>
            </w:r>
          </w:p>
        </w:tc>
        <w:tc>
          <w:tcPr>
            <w:tcW w:w="6520" w:type="dxa"/>
          </w:tcPr>
          <w:p w14:paraId="63E0135F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An immediate checking question to confirm [Small Step] is understood before progressing.</w:t>
            </w:r>
          </w:p>
        </w:tc>
        <w:tc>
          <w:tcPr>
            <w:tcW w:w="1020" w:type="dxa"/>
          </w:tcPr>
          <w:p w14:paraId="26541C39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20</w:t>
            </w:r>
          </w:p>
        </w:tc>
      </w:tr>
      <w:tr w:rsidR="00A21D86" w14:paraId="18EB46C8" w14:textId="77777777" w:rsidTr="00A21D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314A557E" w14:textId="77777777" w:rsidR="00A21D86" w:rsidRDefault="00000000">
            <w:r>
              <w:rPr>
                <w:sz w:val="18"/>
              </w:rPr>
              <w:t>[Model]</w:t>
            </w:r>
          </w:p>
        </w:tc>
        <w:tc>
          <w:tcPr>
            <w:tcW w:w="6520" w:type="dxa"/>
          </w:tcPr>
          <w:p w14:paraId="0BBE91E7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A fully worked example demonstrating the procedure introduced in [Small Step]. Show each step and narrate the reasoning.</w:t>
            </w:r>
          </w:p>
        </w:tc>
        <w:tc>
          <w:tcPr>
            <w:tcW w:w="1020" w:type="dxa"/>
          </w:tcPr>
          <w:p w14:paraId="28EFF734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40</w:t>
            </w:r>
          </w:p>
        </w:tc>
      </w:tr>
      <w:tr w:rsidR="00A21D86" w14:paraId="69A98D7D" w14:textId="77777777" w:rsidTr="00A2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150725AD" w14:textId="77777777" w:rsidR="00A21D86" w:rsidRDefault="00000000">
            <w:r>
              <w:rPr>
                <w:sz w:val="18"/>
              </w:rPr>
              <w:t>[Guided Practice]</w:t>
            </w:r>
          </w:p>
        </w:tc>
        <w:tc>
          <w:tcPr>
            <w:tcW w:w="6520" w:type="dxa"/>
          </w:tcPr>
          <w:p w14:paraId="4E3D081B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A near-identical problem to [Model] for the class to solve together. Same procedure, different numbers, with verbal cues at each step.</w:t>
            </w:r>
          </w:p>
        </w:tc>
        <w:tc>
          <w:tcPr>
            <w:tcW w:w="1020" w:type="dxa"/>
          </w:tcPr>
          <w:p w14:paraId="166CDEBC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40</w:t>
            </w:r>
          </w:p>
        </w:tc>
      </w:tr>
      <w:tr w:rsidR="00A21D86" w14:paraId="6F03D66D" w14:textId="77777777" w:rsidTr="00A21D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28A5E148" w14:textId="77777777" w:rsidR="00A21D86" w:rsidRDefault="00000000">
            <w:r>
              <w:rPr>
                <w:sz w:val="18"/>
              </w:rPr>
              <w:t>[Check Understanding]</w:t>
            </w:r>
          </w:p>
        </w:tc>
        <w:tc>
          <w:tcPr>
            <w:tcW w:w="6520" w:type="dxa"/>
          </w:tcPr>
          <w:p w14:paraId="7EC05E12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A diagnostic question that exposes a common misconception about [Small Step]. Must require application, not recall.</w:t>
            </w:r>
          </w:p>
        </w:tc>
        <w:tc>
          <w:tcPr>
            <w:tcW w:w="1020" w:type="dxa"/>
          </w:tcPr>
          <w:p w14:paraId="34E5CD5A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30</w:t>
            </w:r>
          </w:p>
        </w:tc>
      </w:tr>
      <w:tr w:rsidR="00A21D86" w14:paraId="16EB21D1" w14:textId="77777777" w:rsidTr="00A2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0146008C" w14:textId="77777777" w:rsidR="00A21D86" w:rsidRDefault="00000000">
            <w:r>
              <w:rPr>
                <w:sz w:val="18"/>
              </w:rPr>
              <w:t>[Success Feedback]</w:t>
            </w:r>
          </w:p>
        </w:tc>
        <w:tc>
          <w:tcPr>
            <w:tcW w:w="6520" w:type="dxa"/>
          </w:tcPr>
          <w:p w14:paraId="758FB287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Specific praise + corrective feedback responding to [Check Understanding]. State what was right; state what to refine.</w:t>
            </w:r>
          </w:p>
        </w:tc>
        <w:tc>
          <w:tcPr>
            <w:tcW w:w="1020" w:type="dxa"/>
          </w:tcPr>
          <w:p w14:paraId="24C0E3AD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30</w:t>
            </w:r>
          </w:p>
        </w:tc>
      </w:tr>
      <w:tr w:rsidR="00A21D86" w14:paraId="687A861E" w14:textId="77777777" w:rsidTr="00A21D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557D0AB8" w14:textId="77777777" w:rsidR="00A21D86" w:rsidRDefault="00000000">
            <w:r>
              <w:rPr>
                <w:sz w:val="18"/>
              </w:rPr>
              <w:t>[Scaffold]</w:t>
            </w:r>
          </w:p>
        </w:tc>
        <w:tc>
          <w:tcPr>
            <w:tcW w:w="6520" w:type="dxa"/>
          </w:tcPr>
          <w:p w14:paraId="39110CBC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An optional support tool (formula triangle, vocabulary key, partially-completed calculation) for learners who need it. Not used by all.</w:t>
            </w:r>
          </w:p>
        </w:tc>
        <w:tc>
          <w:tcPr>
            <w:tcW w:w="1020" w:type="dxa"/>
          </w:tcPr>
          <w:p w14:paraId="5E22649B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30</w:t>
            </w:r>
          </w:p>
        </w:tc>
      </w:tr>
      <w:tr w:rsidR="00A21D86" w14:paraId="2F3B2352" w14:textId="77777777" w:rsidTr="00A2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3F7817BF" w14:textId="77777777" w:rsidR="00A21D86" w:rsidRDefault="00000000">
            <w:r>
              <w:rPr>
                <w:sz w:val="18"/>
              </w:rPr>
              <w:t>[Independent Practice]</w:t>
            </w:r>
          </w:p>
        </w:tc>
        <w:tc>
          <w:tcPr>
            <w:tcW w:w="6520" w:type="dxa"/>
          </w:tcPr>
          <w:p w14:paraId="7D33D4F9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A solo task using the same procedure as [Guided Practice] in a new context. No collaboration. Different surface features, same structure.</w:t>
            </w:r>
          </w:p>
        </w:tc>
        <w:tc>
          <w:tcPr>
            <w:tcW w:w="1020" w:type="dxa"/>
          </w:tcPr>
          <w:p w14:paraId="487E4573" w14:textId="77777777" w:rsidR="00A21D8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</w:rPr>
              <w:t>30</w:t>
            </w:r>
          </w:p>
        </w:tc>
      </w:tr>
      <w:tr w:rsidR="00A21D86" w14:paraId="4B436374" w14:textId="77777777" w:rsidTr="00A21D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14:paraId="0AC6D2C4" w14:textId="77777777" w:rsidR="00A21D86" w:rsidRDefault="00000000">
            <w:r>
              <w:rPr>
                <w:sz w:val="18"/>
              </w:rPr>
              <w:t>[Long-Term Review]</w:t>
            </w:r>
          </w:p>
        </w:tc>
        <w:tc>
          <w:tcPr>
            <w:tcW w:w="6520" w:type="dxa"/>
          </w:tcPr>
          <w:p w14:paraId="089051BE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A single retrieval question to be asked next week. Tests the procedure in a novel context to consolidate to long-term memory.</w:t>
            </w:r>
          </w:p>
        </w:tc>
        <w:tc>
          <w:tcPr>
            <w:tcW w:w="1020" w:type="dxa"/>
          </w:tcPr>
          <w:p w14:paraId="239CA3C4" w14:textId="77777777" w:rsidR="00A21D86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8"/>
              </w:rPr>
              <w:t>30</w:t>
            </w:r>
          </w:p>
        </w:tc>
      </w:tr>
    </w:tbl>
    <w:p w14:paraId="734B3D64" w14:textId="77777777" w:rsidR="00A21D86" w:rsidRDefault="00000000">
      <w:r>
        <w:rPr>
          <w:b/>
          <w:sz w:val="18"/>
        </w:rPr>
        <w:t xml:space="preserve">Inter-element rules: </w:t>
      </w:r>
      <w:r>
        <w:rPr>
          <w:sz w:val="18"/>
        </w:rPr>
        <w:t>[Small Step] must build directly on the knowledge tested by [Daily Review]. [Model] must demonstrate the procedure introduced in [Small Step], not a variant. [Guided Practice] must mirror [Model] step-for-step with different numbers. [Check Understanding] must expose a likely misconception of [Small Step], not test recall. [Success Feedback] must address the response a learner would give to [Check Understanding]. [Scaffold] supports a step from [Model] that learners commonly forget. [Independent Practice] must use the same procedure as [Guided Practice] but in a different surface context. [Long-Term Review] must reframe the procedure in a novel scenario, not repeat earlier questions. Arc: recall → introduce → check → model → guide → diagnose → feedback → support → release → consolidate.</w:t>
      </w:r>
    </w:p>
    <w:p w14:paraId="287F26E2" w14:textId="77777777" w:rsidR="00A21D86" w:rsidRDefault="00000000">
      <w:r>
        <w:rPr>
          <w:b/>
        </w:rPr>
        <w:t>Worked Example: Density</w:t>
      </w:r>
    </w:p>
    <w:p w14:paraId="310361D4" w14:textId="77777777" w:rsidR="00A21D86" w:rsidRDefault="00000000">
      <w:pPr>
        <w:spacing w:after="0"/>
      </w:pPr>
      <w:r>
        <w:rPr>
          <w:b/>
          <w:sz w:val="18"/>
        </w:rPr>
        <w:t xml:space="preserve">[Daily Review]: </w:t>
      </w:r>
      <w:r>
        <w:rPr>
          <w:sz w:val="18"/>
        </w:rPr>
        <w:t>Define mass. Define volume. State the units for each.</w:t>
      </w:r>
    </w:p>
    <w:p w14:paraId="69CCBE8E" w14:textId="77777777" w:rsidR="00A21D86" w:rsidRDefault="00000000">
      <w:pPr>
        <w:spacing w:after="0"/>
      </w:pPr>
      <w:r>
        <w:rPr>
          <w:b/>
          <w:sz w:val="18"/>
        </w:rPr>
        <w:t xml:space="preserve">[Small Step]: </w:t>
      </w:r>
      <w:r>
        <w:rPr>
          <w:sz w:val="18"/>
        </w:rPr>
        <w:t>Density is mass per unit volume: ρ = m ÷ V.</w:t>
      </w:r>
    </w:p>
    <w:p w14:paraId="6EB744CB" w14:textId="77777777" w:rsidR="00A21D86" w:rsidRDefault="00000000">
      <w:pPr>
        <w:spacing w:after="0"/>
      </w:pPr>
      <w:r>
        <w:rPr>
          <w:b/>
          <w:sz w:val="18"/>
        </w:rPr>
        <w:t xml:space="preserve">[Question]: </w:t>
      </w:r>
      <w:r>
        <w:rPr>
          <w:sz w:val="18"/>
        </w:rPr>
        <w:t>If mass is in grams and volume in cm³, what unit does density have?</w:t>
      </w:r>
    </w:p>
    <w:p w14:paraId="07D71F94" w14:textId="77777777" w:rsidR="00A21D86" w:rsidRDefault="00000000">
      <w:pPr>
        <w:spacing w:after="0"/>
      </w:pPr>
      <w:r>
        <w:rPr>
          <w:b/>
          <w:sz w:val="18"/>
        </w:rPr>
        <w:t xml:space="preserve">[Model]: </w:t>
      </w:r>
      <w:r>
        <w:rPr>
          <w:sz w:val="18"/>
        </w:rPr>
        <w:t>An aluminium block has mass 270 g and volume 100 cm³. Step 1: identify mass (270 g). Step 2: identify volume (100 cm³). Step 3: divide. ρ = 270 ÷ 100 = 2.7 g/cm³.</w:t>
      </w:r>
    </w:p>
    <w:p w14:paraId="62E31FBE" w14:textId="77777777" w:rsidR="00A21D86" w:rsidRDefault="00000000">
      <w:pPr>
        <w:spacing w:after="0"/>
      </w:pPr>
      <w:r>
        <w:rPr>
          <w:b/>
          <w:sz w:val="18"/>
        </w:rPr>
        <w:t xml:space="preserve">[Guided Practice]: </w:t>
      </w:r>
      <w:r>
        <w:rPr>
          <w:sz w:val="18"/>
        </w:rPr>
        <w:t>Together: a copper block, mass 890 g, volume 100 cm³. Step 1: mass? Step 2: volume? Step 3: divide. Answer: 8.9 g/cm³.</w:t>
      </w:r>
    </w:p>
    <w:p w14:paraId="3E45B7F5" w14:textId="77777777" w:rsidR="00A21D86" w:rsidRDefault="00000000">
      <w:pPr>
        <w:spacing w:after="0"/>
      </w:pPr>
      <w:r>
        <w:rPr>
          <w:b/>
          <w:sz w:val="18"/>
        </w:rPr>
        <w:t xml:space="preserve">[Check Understanding]: </w:t>
      </w:r>
      <w:r>
        <w:rPr>
          <w:sz w:val="18"/>
        </w:rPr>
        <w:t>A 50 cm³ block of iron has mass 395 g. What is its density? Show method.</w:t>
      </w:r>
    </w:p>
    <w:p w14:paraId="13AEF61E" w14:textId="77777777" w:rsidR="00A21D86" w:rsidRDefault="00000000">
      <w:pPr>
        <w:spacing w:after="0"/>
      </w:pPr>
      <w:r>
        <w:rPr>
          <w:b/>
          <w:sz w:val="18"/>
        </w:rPr>
        <w:t xml:space="preserve">[Success Feedback]: </w:t>
      </w:r>
      <w:r>
        <w:rPr>
          <w:sz w:val="18"/>
        </w:rPr>
        <w:t>7.9 g/cm³. Good: you divided mass by volume. Refine: always include units — without them the answer is incomplete.</w:t>
      </w:r>
    </w:p>
    <w:p w14:paraId="3A2494A5" w14:textId="77777777" w:rsidR="00A21D86" w:rsidRDefault="00000000">
      <w:pPr>
        <w:spacing w:after="0"/>
      </w:pPr>
      <w:r>
        <w:rPr>
          <w:b/>
          <w:sz w:val="18"/>
        </w:rPr>
        <w:t xml:space="preserve">[Scaffold]: </w:t>
      </w:r>
      <w:r>
        <w:rPr>
          <w:sz w:val="18"/>
        </w:rPr>
        <w:t>Formula triangle: ρ on top, m and V below. Cover what you want to find; the remaining two show the operation.</w:t>
      </w:r>
    </w:p>
    <w:p w14:paraId="28675D2D" w14:textId="77777777" w:rsidR="00A21D86" w:rsidRDefault="00000000">
      <w:pPr>
        <w:spacing w:after="0"/>
      </w:pPr>
      <w:r>
        <w:rPr>
          <w:b/>
          <w:sz w:val="18"/>
        </w:rPr>
        <w:t xml:space="preserve">[Independent Practice]: </w:t>
      </w:r>
      <w:r>
        <w:rPr>
          <w:sz w:val="18"/>
        </w:rPr>
        <w:t>Worksheet: calculate the densities of five mystery substances from given mass and volume values. No discussion.</w:t>
      </w:r>
    </w:p>
    <w:p w14:paraId="206E5C05" w14:textId="77777777" w:rsidR="00A21D86" w:rsidRDefault="00000000">
      <w:pPr>
        <w:spacing w:after="0"/>
      </w:pPr>
      <w:r>
        <w:rPr>
          <w:b/>
          <w:sz w:val="18"/>
        </w:rPr>
        <w:t xml:space="preserve">[Long-Term Review]: </w:t>
      </w:r>
      <w:r>
        <w:rPr>
          <w:sz w:val="18"/>
        </w:rPr>
        <w:t>Next week: given two objects of the same volume but different masses, which is denser? Explain in one sentence.</w:t>
      </w:r>
    </w:p>
    <w:p w14:paraId="0414C11C" w14:textId="23F4CD51" w:rsidR="00A21D86" w:rsidRDefault="00000000">
      <w:r>
        <w:rPr>
          <w:rFonts w:ascii="Consolas" w:hAnsi="Consolas"/>
          <w:sz w:val="16"/>
        </w:rPr>
        <w:br/>
        <w:t>Constraints:</w:t>
      </w:r>
      <w:r>
        <w:rPr>
          <w:rFonts w:ascii="Consolas" w:hAnsi="Consolas"/>
          <w:sz w:val="16"/>
        </w:rPr>
        <w:br/>
        <w:t>- [Small Step] builds on what [Daily Review] tests.</w:t>
      </w:r>
      <w:r>
        <w:rPr>
          <w:rFonts w:ascii="Consolas" w:hAnsi="Consolas"/>
          <w:sz w:val="16"/>
        </w:rPr>
        <w:br/>
        <w:t>- [Model] demonstrates [Small Step].</w:t>
      </w:r>
      <w:r>
        <w:rPr>
          <w:rFonts w:ascii="Consolas" w:hAnsi="Consolas"/>
          <w:sz w:val="16"/>
        </w:rPr>
        <w:br/>
        <w:t>- [Guided Practice] mirrors [Model] structurally with different numbers.</w:t>
      </w:r>
      <w:r>
        <w:rPr>
          <w:rFonts w:ascii="Consolas" w:hAnsi="Consolas"/>
          <w:sz w:val="16"/>
        </w:rPr>
        <w:br/>
        <w:t>- [Check Understanding] exposes a common misconception of [Small Step].</w:t>
      </w:r>
      <w:r>
        <w:rPr>
          <w:rFonts w:ascii="Consolas" w:hAnsi="Consolas"/>
          <w:sz w:val="16"/>
        </w:rPr>
        <w:br/>
        <w:t>- [Success Feedback] addresses what learners would say to [Check Understanding].</w:t>
      </w:r>
      <w:r>
        <w:rPr>
          <w:rFonts w:ascii="Consolas" w:hAnsi="Consolas"/>
          <w:sz w:val="16"/>
        </w:rPr>
        <w:br/>
        <w:t>- [Independent Practice] uses [Guided Practice]'s procedure in a new surface context.</w:t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lastRenderedPageBreak/>
        <w:t>- [Long-Term Review] is a novel scenario, not a repeat.</w:t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br/>
        <w:t>Replace &lt;&lt;topic&gt;&gt; with the actual topic. Return one populated content item.</w:t>
      </w:r>
    </w:p>
    <w:sectPr w:rsidR="00A21D86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7585704">
    <w:abstractNumId w:val="8"/>
  </w:num>
  <w:num w:numId="2" w16cid:durableId="307052274">
    <w:abstractNumId w:val="6"/>
  </w:num>
  <w:num w:numId="3" w16cid:durableId="680622647">
    <w:abstractNumId w:val="5"/>
  </w:num>
  <w:num w:numId="4" w16cid:durableId="1843664949">
    <w:abstractNumId w:val="4"/>
  </w:num>
  <w:num w:numId="5" w16cid:durableId="1678771546">
    <w:abstractNumId w:val="7"/>
  </w:num>
  <w:num w:numId="6" w16cid:durableId="315768145">
    <w:abstractNumId w:val="3"/>
  </w:num>
  <w:num w:numId="7" w16cid:durableId="1750496555">
    <w:abstractNumId w:val="2"/>
  </w:num>
  <w:num w:numId="8" w16cid:durableId="1149904027">
    <w:abstractNumId w:val="1"/>
  </w:num>
  <w:num w:numId="9" w16cid:durableId="97559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51EDE"/>
    <w:rsid w:val="00923AB8"/>
    <w:rsid w:val="00A21D8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E9BB5A"/>
  <w14:defaultImageDpi w14:val="300"/>
  <w15:docId w15:val="{A67F8198-1FE9-4D0F-9B15-13EAE7D0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 Watkins</cp:lastModifiedBy>
  <cp:revision>3</cp:revision>
  <cp:lastPrinted>2026-05-25T10:57:00Z</cp:lastPrinted>
  <dcterms:created xsi:type="dcterms:W3CDTF">2013-12-23T23:15:00Z</dcterms:created>
  <dcterms:modified xsi:type="dcterms:W3CDTF">2026-05-25T10:57:00Z</dcterms:modified>
  <cp:category/>
</cp:coreProperties>
</file>